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11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EC4AC9">
        <w:rPr>
          <w:rFonts w:ascii="Arial" w:hAnsi="Arial" w:cs="Arial"/>
          <w:color w:val="000000"/>
          <w:sz w:val="22"/>
          <w:szCs w:val="22"/>
        </w:rPr>
        <w:t>26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EC4AC9">
        <w:rPr>
          <w:rFonts w:ascii="Arial" w:hAnsi="Arial" w:cs="Arial"/>
          <w:color w:val="000000"/>
          <w:sz w:val="22"/>
          <w:szCs w:val="22"/>
        </w:rPr>
        <w:t>lipnja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EC4AC9">
        <w:rPr>
          <w:rFonts w:ascii="Arial" w:hAnsi="Arial" w:cs="Arial"/>
          <w:b/>
          <w:color w:val="000000"/>
          <w:sz w:val="22"/>
          <w:szCs w:val="22"/>
        </w:rPr>
        <w:t>7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EC4AC9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29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lipnja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EC4AC9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</w:t>
      </w:r>
      <w:proofErr w:type="spellStart"/>
      <w:r>
        <w:rPr>
          <w:rFonts w:ascii="Arial" w:hAnsi="Arial" w:cs="Arial"/>
          <w:sz w:val="22"/>
          <w:szCs w:val="22"/>
        </w:rPr>
        <w:t>rehabilitatora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jedan izvršitelj/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 xml:space="preserve"> na određeno, nepuno radno vrijeme u sklopu projekta „Super je biti različit“</w:t>
      </w:r>
    </w:p>
    <w:p w:rsidR="00BA58CA" w:rsidRDefault="00EC4AC9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odluku o usvajanju izmjena i dopuna Pravilnika o unutarnjem ustrojstvu i načinu rada Dječjeg vrtića Vukovar I, na temelju prethodne suglasnosti grada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EC4AC9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2020-06-29T06:28:00Z</dcterms:created>
  <dcterms:modified xsi:type="dcterms:W3CDTF">2020-06-29T06:28:00Z</dcterms:modified>
</cp:coreProperties>
</file>